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b/>
          <w:sz w:val="24"/>
          <w:szCs w:val="24"/>
          <w:u w:val="single"/>
        </w:rPr>
        <w:t>Электроэнергия на общедомовые нужды: вопросы и ответы</w:t>
      </w:r>
    </w:p>
    <w:p w:rsidR="000E2911" w:rsidRPr="00D714C6" w:rsidRDefault="00D24970" w:rsidP="00D714C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714C6">
        <w:rPr>
          <w:b/>
          <w:i/>
          <w:sz w:val="24"/>
          <w:szCs w:val="24"/>
        </w:rPr>
        <w:t>Что включает в себя расход электроэнергии на ОДН многоквартирного дома?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 xml:space="preserve">Каждый многоквартирный дом, подключенный к электрическим сетям, получает определенное количество энергии. Эта энергия предназначена как для потребления внутри квартиры каждого жильца, так и для потребления на общедомовые нужды. К ОДН относят освещение и другое энергопотребление межквартирных лестничных площадок, лестниц, чердаков, подвалов, электропитание домофонов, усилителей телеантенн коллективного пользования и другого имущества, </w:t>
      </w:r>
      <w:proofErr w:type="spellStart"/>
      <w:r w:rsidRPr="00D714C6">
        <w:rPr>
          <w:sz w:val="24"/>
          <w:szCs w:val="24"/>
        </w:rPr>
        <w:t>придворовое</w:t>
      </w:r>
      <w:proofErr w:type="spellEnd"/>
      <w:r w:rsidRPr="00D714C6">
        <w:rPr>
          <w:sz w:val="24"/>
          <w:szCs w:val="24"/>
        </w:rPr>
        <w:t xml:space="preserve"> освещение, все объекты, находящиеся на участке земли, принадлежащем собственникам данного дома и присоединенные к внутридомовой электрической сети, например детские или спортивные площадки.</w:t>
      </w:r>
    </w:p>
    <w:p w:rsidR="000E2911" w:rsidRPr="00D714C6" w:rsidRDefault="00D24970" w:rsidP="00D714C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714C6">
        <w:rPr>
          <w:b/>
          <w:i/>
          <w:sz w:val="24"/>
          <w:szCs w:val="24"/>
        </w:rPr>
        <w:t>Как начисляется оплата за ОДН?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Плата за электроэнергию на ОДН начисляется пропорционально размеру общей жилой площади, принадлежащей каждому потребителю в многоквартирном доме. Говоря проще, эта плата распределяется в зависимости от квадратных метров, находящихся в пользовании собственника или нанимателя помещения. Причем этот порядок относится и к юридическим лицам, которые арендуют или имеют в собственности помещения в многоквартирном доме – платить за свет в местах общего пользования они так же будут пропорционально тем квадратным метрам, которые занимают их организации.</w:t>
      </w:r>
    </w:p>
    <w:p w:rsidR="000E2911" w:rsidRPr="00D714C6" w:rsidRDefault="00D24970" w:rsidP="00D714C6">
      <w:pPr>
        <w:pStyle w:val="Standard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D714C6">
        <w:rPr>
          <w:b/>
          <w:bCs/>
          <w:i/>
          <w:iCs/>
          <w:sz w:val="24"/>
          <w:szCs w:val="24"/>
        </w:rPr>
        <w:t>Как формируется квитанция на оплату электроэнергии с учетом ОДН?</w:t>
      </w:r>
    </w:p>
    <w:p w:rsidR="004D4120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 xml:space="preserve">Если квитанцию </w:t>
      </w:r>
      <w:r w:rsidR="004D4120" w:rsidRPr="00D714C6">
        <w:rPr>
          <w:sz w:val="24"/>
          <w:szCs w:val="24"/>
        </w:rPr>
        <w:t xml:space="preserve">по оплате за потребленную электроэнергию в жилом помещении и по оплате за ОДН формирует </w:t>
      </w:r>
      <w:proofErr w:type="spellStart"/>
      <w:r w:rsidR="004D4120" w:rsidRPr="00D714C6">
        <w:rPr>
          <w:sz w:val="24"/>
          <w:szCs w:val="24"/>
        </w:rPr>
        <w:t>энергоснабжающая</w:t>
      </w:r>
      <w:proofErr w:type="spellEnd"/>
      <w:r w:rsidR="004D4120" w:rsidRPr="00D714C6">
        <w:rPr>
          <w:sz w:val="24"/>
          <w:szCs w:val="24"/>
        </w:rPr>
        <w:t xml:space="preserve"> организация или Управляющая компания, то жильцы многоквартирного дома будут получать одну квитанцию, в которой сумма за ОДН может отражаться отдельной строкой.</w:t>
      </w:r>
    </w:p>
    <w:p w:rsidR="000E2911" w:rsidRPr="00D714C6" w:rsidRDefault="004D412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 xml:space="preserve">Если квитанцию по оплате за потребленную электроэнергию в жилом помещении формирует </w:t>
      </w:r>
      <w:proofErr w:type="spellStart"/>
      <w:r w:rsidRPr="00D714C6">
        <w:rPr>
          <w:sz w:val="24"/>
          <w:szCs w:val="24"/>
        </w:rPr>
        <w:t>энергоснабжающая</w:t>
      </w:r>
      <w:proofErr w:type="spellEnd"/>
      <w:r w:rsidRPr="00D714C6">
        <w:rPr>
          <w:sz w:val="24"/>
          <w:szCs w:val="24"/>
        </w:rPr>
        <w:t xml:space="preserve"> организация, а квитанцию по оплате за ОДН – Управляющая компания, то жильцы многоквартирного дома будут получать две отдельные</w:t>
      </w:r>
      <w:r w:rsidR="00912323" w:rsidRPr="00D714C6">
        <w:rPr>
          <w:sz w:val="24"/>
          <w:szCs w:val="24"/>
        </w:rPr>
        <w:t xml:space="preserve"> квитанции.</w:t>
      </w:r>
    </w:p>
    <w:p w:rsidR="000E2911" w:rsidRPr="00D714C6" w:rsidRDefault="00D24970" w:rsidP="00D714C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714C6">
        <w:rPr>
          <w:b/>
          <w:i/>
          <w:sz w:val="24"/>
          <w:szCs w:val="24"/>
        </w:rPr>
        <w:t>Как происходит расчет расхода электроэнергии на ОДН?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Порядок определения объемов электрической энергии, использованных на ОДН, находится в непосредственной зависимости от наличия в многоквартирном доме общедомового прибора учета или его отсутствия.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При наличии общедомового прибора учета объем электроэнергии, использованный на ОДН, определяется следующим образом: от показаний коллективного прибора учета вычитаются показания поквартирных счетчиков. То, что в итоге остается, и определяет расход электроэнергии в местах общего пользования, который затем распределяется между жильцами жилых помещений пропорционально размеру общей жилой  площади, принадлежащей каждому потребителю.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Если же такой прибор не установлен, то в основу расчета будет положен нор</w:t>
      </w:r>
      <w:r w:rsidR="003C796B" w:rsidRPr="00D714C6">
        <w:rPr>
          <w:sz w:val="24"/>
          <w:szCs w:val="24"/>
        </w:rPr>
        <w:t xml:space="preserve">матив потребления в соответствие с Приложением №4 к Приказу Государственного комитета КБР по энергетике и тарифам №12 от 27 июня 2014 года. </w:t>
      </w:r>
    </w:p>
    <w:p w:rsidR="000E2911" w:rsidRPr="00D714C6" w:rsidRDefault="00D24970" w:rsidP="00D714C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714C6">
        <w:rPr>
          <w:b/>
          <w:i/>
          <w:sz w:val="24"/>
          <w:szCs w:val="24"/>
        </w:rPr>
        <w:t>Кто должен заплатить за покупку и установку общедомового счетчика?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proofErr w:type="gramStart"/>
      <w:r w:rsidRPr="00D714C6">
        <w:rPr>
          <w:sz w:val="24"/>
          <w:szCs w:val="24"/>
        </w:rPr>
        <w:t>Согласно ст. 13 ч. 5 Федерального закона от 23 ноября 2009 г. N 261-ФЗ «Об энергосбережении и о повышении энергетической эффективности и о внесении изменений в отдельные законодательные акты РФ» собственники жилых помещений в многоквартирном доме, «обязаны обеспечить оснащение своих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эксплуатацию».</w:t>
      </w:r>
      <w:proofErr w:type="gramEnd"/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 xml:space="preserve">Это подкрепляет ст. 158 Жилищного кодекса, где сказано: «Собственник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</w:t>
      </w:r>
      <w:r w:rsidRPr="00D714C6">
        <w:rPr>
          <w:sz w:val="24"/>
          <w:szCs w:val="24"/>
        </w:rPr>
        <w:lastRenderedPageBreak/>
        <w:t>многоквартирном доме соразмерно своей доле в праве общей собственности на это имущество путем внесения платы за содержание и ремонт жилого помещения».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Значит, хозяевам помещений рано или поздно придется установить общедомовой счетчик. При этом сам процесс установки общего счетчика, а также вопрос оплаты за него может решаться по-разному:</w:t>
      </w:r>
    </w:p>
    <w:p w:rsidR="000E2911" w:rsidRPr="00D714C6" w:rsidRDefault="00D24970" w:rsidP="00D714C6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D714C6">
        <w:rPr>
          <w:b/>
          <w:sz w:val="24"/>
          <w:szCs w:val="24"/>
        </w:rPr>
        <w:t>Установить прибор учета жильцы решают сами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 xml:space="preserve">Обычно такой вариант выбирают в ТСЖ или в домах с активным домкомом. Собственники могут собрать средства на установку счетчика дополнительно к основным платежам. Если большинство собственников согласятся на дополнительные траты, то нести их придется даже тем, кто проголосовал </w:t>
      </w:r>
      <w:proofErr w:type="gramStart"/>
      <w:r w:rsidRPr="00D714C6">
        <w:rPr>
          <w:sz w:val="24"/>
          <w:szCs w:val="24"/>
        </w:rPr>
        <w:t>против</w:t>
      </w:r>
      <w:proofErr w:type="gramEnd"/>
      <w:r w:rsidRPr="00D714C6">
        <w:rPr>
          <w:sz w:val="24"/>
          <w:szCs w:val="24"/>
        </w:rPr>
        <w:t>. По поручению жильцов дома за реализацию этого решения возьмется ТСЖ или Управляющая компания.</w:t>
      </w:r>
    </w:p>
    <w:p w:rsidR="000E2911" w:rsidRPr="00D714C6" w:rsidRDefault="00D24970" w:rsidP="00D714C6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D714C6">
        <w:rPr>
          <w:b/>
          <w:sz w:val="24"/>
          <w:szCs w:val="24"/>
        </w:rPr>
        <w:t>Счетчик устанавливается по предложению Управляющей компании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Если жильцы не торопятся устанавливать общедомовой прибор учета, то такое предложение обязана выдвинуть Управляющая компания в соответствии со ст. 12 п. 7 закона об энергосбережении.</w:t>
      </w:r>
    </w:p>
    <w:p w:rsidR="000E2911" w:rsidRPr="00D714C6" w:rsidRDefault="00D24970" w:rsidP="00D714C6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D714C6">
        <w:rPr>
          <w:b/>
          <w:sz w:val="24"/>
          <w:szCs w:val="24"/>
        </w:rPr>
        <w:t>Счетчик устанавливает сетевая организация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В случае неисполнения жильцами, а также ТСЖ и Управляющей компанией обязательств по установке общедомового счетчика, то п. 150 Постановления Правительства РФ № 442 обязывает сетевую организацию произвести необходимые действия по оснащению многоквартирного дома соответствующим прибором учета электроэнергии.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В этом случае отказаться от предлагаемых услуг собственники уже не смогут. Если они не захотят добровольно оплатить прибор учета и расходы по его установке, сетевая организация имеет право обратиться в суд.</w:t>
      </w:r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>Кроме того, надо отметить, что платить за прибор учета должны жильцы, причем делать это они могут в рассрочку до 5 лет. Правда, к общей стоимости оборудования прибавятся еще и проценты.</w:t>
      </w:r>
    </w:p>
    <w:p w:rsidR="000E2911" w:rsidRPr="00D714C6" w:rsidRDefault="00D24970" w:rsidP="00D714C6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714C6">
        <w:rPr>
          <w:b/>
          <w:i/>
          <w:sz w:val="24"/>
          <w:szCs w:val="24"/>
        </w:rPr>
        <w:t>Возможен ли отказ от оплаты ОДН?</w:t>
      </w:r>
      <w:bookmarkStart w:id="0" w:name="_GoBack"/>
      <w:bookmarkEnd w:id="0"/>
    </w:p>
    <w:p w:rsidR="000E2911" w:rsidRPr="00D714C6" w:rsidRDefault="00D24970">
      <w:pPr>
        <w:pStyle w:val="Standard"/>
        <w:spacing w:line="240" w:lineRule="auto"/>
        <w:jc w:val="both"/>
        <w:rPr>
          <w:sz w:val="24"/>
          <w:szCs w:val="24"/>
        </w:rPr>
      </w:pPr>
      <w:r w:rsidRPr="00D714C6">
        <w:rPr>
          <w:sz w:val="24"/>
          <w:szCs w:val="24"/>
        </w:rPr>
        <w:t xml:space="preserve">За отказ от оплаты общедомовых нужд федеральным законодательством предусмотрена такая же ответственность, как и за отказ от оплаты электроэнергии, потребленной в квартире. И оплата ОДН, и оплата внутриквартирного электропотребления относятся в равной степени к услуге энергоснабжения. </w:t>
      </w:r>
      <w:proofErr w:type="gramStart"/>
      <w:r w:rsidRPr="00D714C6">
        <w:rPr>
          <w:sz w:val="24"/>
          <w:szCs w:val="24"/>
        </w:rPr>
        <w:t>Исключая</w:t>
      </w:r>
      <w:proofErr w:type="gramEnd"/>
      <w:r w:rsidRPr="00D714C6">
        <w:rPr>
          <w:sz w:val="24"/>
          <w:szCs w:val="24"/>
        </w:rPr>
        <w:t xml:space="preserve"> </w:t>
      </w:r>
      <w:proofErr w:type="gramStart"/>
      <w:r w:rsidRPr="00D714C6">
        <w:rPr>
          <w:sz w:val="24"/>
          <w:szCs w:val="24"/>
        </w:rPr>
        <w:t>из</w:t>
      </w:r>
      <w:proofErr w:type="gramEnd"/>
      <w:r w:rsidRPr="00D714C6">
        <w:rPr>
          <w:sz w:val="24"/>
          <w:szCs w:val="24"/>
        </w:rPr>
        <w:t xml:space="preserve"> платежа сумму оплаты электроэнергии на ОДН, жильцы будут накапливать долг. А к должникам применяются все законные меры воздействия, в том числе и ограничение подачи электроэнергии.</w:t>
      </w:r>
    </w:p>
    <w:sectPr w:rsidR="000E2911" w:rsidRPr="00D714C6">
      <w:pgSz w:w="11906" w:h="16838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D9" w:rsidRDefault="00133ED9">
      <w:pPr>
        <w:spacing w:after="0" w:line="240" w:lineRule="auto"/>
      </w:pPr>
      <w:r>
        <w:separator/>
      </w:r>
    </w:p>
  </w:endnote>
  <w:endnote w:type="continuationSeparator" w:id="0">
    <w:p w:rsidR="00133ED9" w:rsidRDefault="001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D9" w:rsidRDefault="00133E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3ED9" w:rsidRDefault="0013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618"/>
    <w:multiLevelType w:val="multilevel"/>
    <w:tmpl w:val="D0E8F0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46F0A29"/>
    <w:multiLevelType w:val="multilevel"/>
    <w:tmpl w:val="06A40A6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911"/>
    <w:rsid w:val="000E2911"/>
    <w:rsid w:val="00133ED9"/>
    <w:rsid w:val="003C796B"/>
    <w:rsid w:val="003E2829"/>
    <w:rsid w:val="004D4120"/>
    <w:rsid w:val="0059445A"/>
    <w:rsid w:val="00912323"/>
    <w:rsid w:val="00A71D44"/>
    <w:rsid w:val="00D24970"/>
    <w:rsid w:val="00D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kern w:val="3"/>
        <w:sz w:val="28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  <w:pPr>
      <w:ind w:left="720"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Calibri"/>
        <w:kern w:val="3"/>
        <w:sz w:val="28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  <w:pPr>
      <w:ind w:left="720"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Гедгафова</cp:lastModifiedBy>
  <cp:revision>2</cp:revision>
  <cp:lastPrinted>2015-10-22T10:39:00Z</cp:lastPrinted>
  <dcterms:created xsi:type="dcterms:W3CDTF">2015-10-26T12:58:00Z</dcterms:created>
  <dcterms:modified xsi:type="dcterms:W3CDTF">2015-10-26T12:58:00Z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